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4：</w:t>
      </w: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w:t>
      </w:r>
      <w:r>
        <w:rPr>
          <w:rFonts w:hint="eastAsia" w:ascii="方正小标宋简体" w:hAnsi="方正小标宋简体" w:eastAsia="方正小标宋简体" w:cs="方正小标宋简体"/>
          <w:sz w:val="44"/>
          <w:szCs w:val="44"/>
          <w:lang w:val="en-US" w:eastAsia="zh-CN"/>
        </w:rPr>
        <w:t>应聘</w:t>
      </w:r>
      <w:r>
        <w:rPr>
          <w:rFonts w:hint="eastAsia" w:ascii="方正小标宋简体" w:hAnsi="方正小标宋简体" w:eastAsia="方正小标宋简体" w:cs="方正小标宋简体"/>
          <w:sz w:val="44"/>
          <w:szCs w:val="44"/>
          <w:lang w:eastAsia="zh-CN"/>
        </w:rPr>
        <w:t>人员承诺书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应聘学院</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lang w:val="en-US" w:eastAsia="zh-CN"/>
        </w:rPr>
        <w:t>专业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w:t>
      </w:r>
      <w:r>
        <w:rPr>
          <w:rFonts w:hint="eastAsia" w:ascii="仿宋_GB2312" w:hAnsi="仿宋_GB2312" w:eastAsia="仿宋_GB2312" w:cs="仿宋_GB2312"/>
          <w:color w:val="auto"/>
          <w:sz w:val="32"/>
          <w:szCs w:val="32"/>
          <w:u w:val="none"/>
          <w:lang w:val="en-US" w:eastAsia="zh-CN"/>
        </w:rPr>
        <w:t>贵州民族大学2025年</w:t>
      </w:r>
      <w:r>
        <w:rPr>
          <w:rFonts w:hint="eastAsia" w:ascii="仿宋_GB2312" w:hAnsi="仿宋_GB2312" w:eastAsia="仿宋_GB2312" w:cs="仿宋_GB2312"/>
          <w:sz w:val="32"/>
          <w:szCs w:val="32"/>
          <w:u w:val="none"/>
          <w:lang w:val="en-US" w:eastAsia="zh-CN"/>
        </w:rPr>
        <w:t>高层次人才引进方案（二）》规定，本人所学专业经比对，满足：</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3"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研究方向与招聘岗位所需专业一致</w:t>
      </w:r>
      <w:r>
        <w:rPr>
          <w:rFonts w:hint="eastAsia" w:ascii="仿宋_GB2312" w:hAnsi="仿宋_GB2312" w:eastAsia="仿宋_GB2312" w:cs="仿宋_GB2312"/>
          <w:sz w:val="32"/>
          <w:szCs w:val="32"/>
          <w:u w:val="none"/>
          <w:lang w:val="en-US" w:eastAsia="zh-CN"/>
        </w:rPr>
        <w:t>。</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本人承诺：按照要求如实提供比对专业名称及课程的有效证明材料或代表性研究成果供招聘单位开展专家论证，认可专家论证结果，若论证结果为达不到本条款要求的，不进入下一环节。</w:t>
      </w:r>
    </w:p>
    <w:p>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76"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w:t>
      </w:r>
    </w:p>
    <w:p>
      <w:pPr>
        <w:keepNext w:val="0"/>
        <w:keepLines w:val="0"/>
        <w:pageBreakBefore w:val="0"/>
        <w:widowControl w:val="0"/>
        <w:kinsoku/>
        <w:wordWrap/>
        <w:overflowPunct/>
        <w:topLinePunct w:val="0"/>
        <w:autoSpaceDE/>
        <w:autoSpaceDN/>
        <w:bidi w:val="0"/>
        <w:adjustRightInd/>
        <w:snapToGrid/>
        <w:spacing w:line="576" w:lineRule="exact"/>
        <w:ind w:firstLine="4480" w:firstLineChars="14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YWNlYTA0NzA5MTQyMGZiODdiZjU4YzQwYTkzYWYifQ=="/>
  </w:docVars>
  <w:rsids>
    <w:rsidRoot w:val="00000000"/>
    <w:rsid w:val="07893C2B"/>
    <w:rsid w:val="454120BD"/>
    <w:rsid w:val="7FD50A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2025-07-01T02:09:42Z</dcterms:created>
  <dc:creator>Administrator</dc:creator>
  <cp:lastModifiedBy>聚智成业</cp:lastModifiedBy>
  <dcterms:modified xsi:type="dcterms:W3CDTF">2025-07-01T02:36:56Z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6C8EC7E471964D89B092091DDCA04D54_12</vt:lpwstr>
  </property>
</Properties>
</file>