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ascii="黑体" w:eastAsia="黑体" w:cs="黑体" w:hAnsi="宋体" w:hint="eastAsia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ascii="黑体" w:eastAsia="黑体" w:cs="黑体" w:hAnsi="宋体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附件1</w:t>
      </w:r>
    </w:p>
    <w:tbl>
      <w:tblPr>
        <w:tblpPr w:leftFromText="180" w:rightFromText="180" w:vertAnchor="text" w:horzAnchor="page" w:tblpX="1149" w:tblpY="160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19"/>
        <w:gridCol w:w="637"/>
        <w:gridCol w:w="551"/>
        <w:gridCol w:w="1850"/>
        <w:gridCol w:w="3116"/>
        <w:gridCol w:w="787"/>
        <w:gridCol w:w="857"/>
        <w:gridCol w:w="781"/>
      </w:tblGrid>
      <w:tr>
        <w:trPr>
          <w:trHeight w:val="1873"/>
        </w:trPr>
        <w:tc>
          <w:tcPr>
            <w:tcW w:w="10060" w:type="dxa"/>
            <w:gridSpan w:val="9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line="560" w:lineRule="exact"/>
              <w:ind w:left="0"/>
              <w:jc w:val="center"/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贵阳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val="en-US" w:eastAsia="zh-CN"/>
              </w:rPr>
              <w:t>市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水务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val="en-US" w:eastAsia="zh-CN"/>
              </w:rPr>
              <w:t>环境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集团有限公司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line="560" w:lineRule="exact"/>
              <w:ind w:left="1216" w:hanging="1216"/>
              <w:jc w:val="center"/>
              <w:rPr>
                <w:rFonts w:ascii="方正小标宋简体" w:eastAsia="方正小标宋简体" w:cs="方正小标宋简体" w:hAnsi="方正小标宋简体" w:hint="eastAsia"/>
                <w:w w:val="95"/>
                <w:sz w:val="32"/>
                <w:szCs w:val="32"/>
              </w:rPr>
            </w:pP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202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年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eastAsia="zh-CN"/>
              </w:rPr>
              <w:t>大学生退役</w:t>
            </w:r>
            <w:r>
              <w:rPr>
                <w:rFonts w:ascii="方正小标宋简体" w:eastAsia="方正小标宋简体" w:cs="方正小标宋简体" w:hAnsi="方正小标宋简体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eastAsia="zh-CN"/>
              </w:rPr>
              <w:t>士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eastAsia="zh-CN"/>
              </w:rPr>
              <w:t>兵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  <w:lang w:val="en-US" w:eastAsia="zh-CN"/>
              </w:rPr>
              <w:t>公开</w:t>
            </w:r>
            <w:r>
              <w:rPr>
                <w:rFonts w:ascii="方正小标宋简体" w:eastAsia="方正小标宋简体" w:cs="方正小标宋简体" w:hAnsi="方正小标宋简体" w:hint="eastAsia"/>
                <w:caps w:val="0"/>
                <w:smallCaps w:val="0"/>
                <w:color w:val="auto"/>
                <w:w w:val="95"/>
                <w:sz w:val="44"/>
                <w:szCs w:val="44"/>
                <w:vertAlign w:val="baseline"/>
              </w:rPr>
              <w:t>招聘职位表</w:t>
            </w:r>
          </w:p>
        </w:tc>
      </w:tr>
      <w:tr>
        <w:trPr>
          <w:trHeight w:val="1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岗位名称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caps w:val="0"/>
                <w:smallCap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ascii="宋体" w:eastAsia="宋体" w:cs="宋体" w:hAnsi="宋体" w:hint="eastAsia"/>
                <w:caps w:val="0"/>
                <w:small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CESI黑体-GB2312" w:eastAsia="CESI黑体-GB2312" w:cs="CESI黑体-GB2312" w:hAnsi="CESI黑体-GB2312" w:hint="eastAsia"/>
                <w:b w:val="0"/>
                <w:bCs w:val="0"/>
                <w:caps w:val="0"/>
                <w:small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</w:tr>
      <w:tr>
        <w:trPr>
          <w:trHeight w:val="10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贵阳北控水务有限责任公司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设备管理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负责协助设备主管完成设备全生命周期管理，推动智能化运维，优化备件库存，保障设备高效安全运行。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djustRightInd/>
              <w:spacing w:line="400" w:lineRule="exact"/>
              <w:ind w:left="0"/>
              <w:jc w:val="left"/>
              <w:rPr>
                <w:rFonts w:ascii="宋体" w:cs="仿宋_GB2312" w:hAnsi="仿宋" w:hint="eastAsia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1.2025届应届毕业生或2023届、2024届已毕业未落实工作，处于择业期内的高校毕业生（未签订正式劳动合同、未以正式职工身份参加社会保险的），包含符合大学生志愿服务西部计划等的毕业生；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</w:pPr>
            <w:r>
              <w:rPr>
                <w:rFonts w:ascii="宋体" w:cs="仿宋_GB2312" w:hint="eastAsia"/>
                <w:kern w:val="0"/>
                <w:sz w:val="24"/>
              </w:rPr>
              <w:t>2.大学本科及以上学历，具有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电气类（0806）</w:t>
            </w:r>
            <w:r>
              <w:rPr>
                <w:rFonts w:ascii="宋体" w:cs="仿宋_GB2312" w:hint="eastAsia"/>
                <w:kern w:val="0"/>
                <w:sz w:val="24"/>
              </w:rPr>
              <w:t>、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机械类（0802）</w:t>
            </w:r>
            <w:r>
              <w:rPr>
                <w:rFonts w:ascii="宋体" w:cs="仿宋_GB2312" w:hint="eastAsia"/>
                <w:kern w:val="0"/>
                <w:sz w:val="24"/>
              </w:rPr>
              <w:t>、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自动化类（0808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ascii="宋体" w:cs="仿宋_GB2312" w:hint="eastAsia"/>
                <w:kern w:val="0"/>
                <w:sz w:val="24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ascii="宋体" w:cs="仿宋_GB2312" w:hint="eastAsia"/>
                <w:kern w:val="0"/>
                <w:sz w:val="24"/>
              </w:rPr>
              <w:t>专业</w:t>
            </w:r>
            <w:r>
              <w:rPr>
                <w:rFonts w:ascii="宋体" w:cs="仿宋_GB2312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仿宋_GB2312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3.掌握必要的机电知识，熟悉机、电安全有关规定，了解机、电设备在安装、使用和维修过程中的安全要求；掌握水厂自控运行相关专业知识与技能，熟悉行业发展规趋势具备较强沟通协调技能和团队管理能力。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suppressAutoHyphens w:val="0"/>
              <w:bidi w:val="0"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贵阳市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5000-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8000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退役士兵</w:t>
            </w:r>
          </w:p>
        </w:tc>
      </w:tr>
      <w:tr>
        <w:trPr>
          <w:trHeight w:val="77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贵阳北控水务有限责任公司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机电维修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根据设备运维标准和实际需要，开展本单位设备检修工作，确保按时按质完成任务。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djustRightInd/>
              <w:spacing w:line="400" w:lineRule="exact"/>
              <w:ind w:left="0"/>
              <w:jc w:val="left"/>
              <w:rPr>
                <w:rFonts w:ascii="宋体" w:cs="仿宋_GB2312" w:hAnsi="仿宋" w:hint="eastAsia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1.2025届应届毕业生或2023届、2024届已毕业未落实工作，处于择业期内的高校毕业生（未签订正式劳动合同、未以正式职工身份参加社会保险的），包含符合大学生志愿服务西部计划等的毕业生；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</w:pPr>
            <w:r>
              <w:rPr>
                <w:rFonts w:ascii="宋体" w:cs="仿宋_GB2312" w:hint="eastAsia"/>
                <w:kern w:val="0"/>
                <w:sz w:val="24"/>
              </w:rPr>
              <w:t>2.大学本科及以上学历，具有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电气类（0806）</w:t>
            </w:r>
            <w:r>
              <w:rPr>
                <w:rFonts w:ascii="宋体" w:cs="仿宋_GB2312" w:hint="eastAsia"/>
                <w:kern w:val="0"/>
                <w:sz w:val="24"/>
              </w:rPr>
              <w:t>、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机械类（0802）</w:t>
            </w:r>
            <w:r>
              <w:rPr>
                <w:rFonts w:ascii="宋体" w:cs="仿宋_GB2312" w:hint="eastAsia"/>
                <w:kern w:val="0"/>
                <w:sz w:val="24"/>
              </w:rPr>
              <w:t>、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自动化类（0808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仿宋_GB2312"/>
                <w:kern w:val="0"/>
                <w:sz w:val="24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）</w:t>
            </w:r>
            <w:r>
              <w:rPr>
                <w:rFonts w:ascii="宋体" w:cs="仿宋_GB2312" w:hint="eastAsia"/>
                <w:kern w:val="0"/>
                <w:sz w:val="24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仿宋_GB2312" w:hint="eastAsia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3.负责水厂、加压站泵站机电设备的点检、定检维护、保养、维修、大修、抢修，使生产设备处于完好状态。持有机电维修、电工类证书优先。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贵阳市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5000-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8000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宋体" w:eastAsia="宋体" w:cs="仿宋_GB2312" w:hint="eastAsia"/>
                <w:kern w:val="0"/>
                <w:sz w:val="24"/>
                <w:lang w:val="en-US" w:eastAsia="zh-CN" w:bidi="ar-SA"/>
              </w:rPr>
              <w:t>退役士兵</w:t>
            </w:r>
          </w:p>
        </w:tc>
      </w:tr>
      <w:tr>
        <w:trPr>
          <w:trHeight w:val="3874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val="en-US" w:eastAsia="zh-CN" w:bidi="ar-SA"/>
              </w:rPr>
              <w:t>备注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：现场需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  <w:highlight w:val="auto"/>
              </w:rPr>
              <w:t>简历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一份。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岗位要求的学历学位证书、其他资格条件证书等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原件及复印件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有效居民身份证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原件及复印件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）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①户籍为贵州省内的应聘人员提供退役士兵证及优待证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原件及复印件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Chars="100" w:firstLine="24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</w:rPr>
              <w:t>②户籍为贵州省外的应聘人员提供退役士兵证、优待证及户籍所在地退役军人事务局或有关部门的相关证明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原件及复印件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由本人当场亲笔签名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</w:rPr>
              <w:t>《近亲属关系申报承诺书》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和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  <w:highlight w:val="auto"/>
              </w:rPr>
              <w:t>《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</w:rPr>
              <w:t>报名诚信报考承诺书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  <w:highlight w:val="auto"/>
              </w:rPr>
              <w:t>》</w:t>
            </w:r>
            <w:r>
              <w:rPr>
                <w:rFonts w:ascii="宋体" w:eastAsia="宋体" w:cs="宋体" w:hAnsi="宋体"/>
                <w:bCs/>
                <w:kern w:val="0"/>
                <w:sz w:val="24"/>
                <w:szCs w:val="24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</w:rPr>
              <w:t>《近亲属关系申报承诺书》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和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  <w:highlight w:val="auto"/>
              </w:rPr>
              <w:t>《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</w:rPr>
              <w:t>报名诚信报考承诺书</w:t>
            </w:r>
            <w:r>
              <w:rPr>
                <w:rFonts w:ascii="宋体" w:eastAsia="宋体" w:cs="宋体" w:hAnsi="宋体" w:hint="eastAsia"/>
                <w:bCs/>
                <w:kern w:val="0"/>
                <w:sz w:val="24"/>
                <w:szCs w:val="24"/>
                <w:highlight w:val="auto"/>
              </w:rPr>
              <w:t>》</w:t>
            </w:r>
            <w:r>
              <w:rPr>
                <w:rFonts w:ascii="宋体" w:eastAsia="宋体" w:cs="宋体" w:hAnsi="宋体"/>
                <w:bCs/>
                <w:kern w:val="0"/>
                <w:sz w:val="24"/>
                <w:szCs w:val="24"/>
                <w:highlight w:val="auto"/>
              </w:rPr>
              <w:t>由集团公司提供</w:t>
            </w:r>
            <w:bookmarkStart w:id="0" w:name="_GoBack"/>
            <w:bookmarkEnd w:id="0"/>
            <w:r>
              <w:rPr>
                <w:rFonts w:ascii="宋体" w:eastAsia="宋体" w:cs="宋体" w:hAnsi="宋体"/>
                <w:bCs/>
                <w:kern w:val="0"/>
                <w:sz w:val="24"/>
                <w:szCs w:val="24"/>
                <w:highlight w:val="auto"/>
              </w:rPr>
              <w:t>）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留学回国人员报考的，除需提供《招聘公告》中规定的材料外，还要出具教育部门认证的学历有关证明材料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（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原件及复印件</w:t>
            </w: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lang w:eastAsia="zh-CN"/>
                <w:highlight w:val="auto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ind w:left="0" w:firstLine="0"/>
              <w:jc w:val="left"/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</w:pPr>
            <w:r>
              <w:rPr>
                <w:rFonts w:ascii="宋体" w:eastAsia="宋体" w:cs="宋体" w:hAnsi="宋体" w:hint="eastAsia"/>
                <w:kern w:val="0"/>
                <w:sz w:val="24"/>
                <w:szCs w:val="24"/>
                <w:highlight w:val="auto"/>
              </w:rPr>
              <w:t>其他需要提交的资料。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line="400" w:lineRule="exact"/>
              <w:jc w:val="left"/>
              <w:rPr>
                <w:rFonts w:ascii="宋体" w:eastAsia="宋体" w:cs="仿宋_GB2312" w:hAnsi="宋体"/>
                <w:b w:val="0"/>
                <w:bCs w:val="0"/>
                <w:caps w:val="0"/>
                <w:smallCap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kern w:val="0"/>
                <w:sz w:val="24"/>
                <w:szCs w:val="24"/>
                <w:lang w:val="en-US" w:eastAsia="zh-CN"/>
                <w:highlight w:val="auto"/>
              </w:rPr>
              <w:t>注:现场需对学历及社保缴纳情况验证。</w:t>
            </w:r>
          </w:p>
        </w:tc>
      </w:tr>
    </w:tbl>
    <w:p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Chars="200" w:left="420" w:right="0" w:firstLine="0"/>
        <w:rPr>
          <w:rFonts w:ascii="Calibri" w:eastAsia="宋体" w:cs="Calibri" w:hAnsi="Calibri"/>
          <w:caps w:val="0"/>
          <w:smallCaps w:val="0"/>
          <w:color w:val="auto"/>
          <w:sz w:val="21"/>
          <w:szCs w:val="21"/>
          <w:vertAlign w:val="baseline"/>
        </w:rPr>
      </w:pPr>
    </w:p>
    <w:p/>
    <w:sectPr>
      <w:pgSz w:w="11906" w:h="16838"/>
      <w:pgMar w:top="1247" w:right="1746" w:bottom="1247" w:left="1746" w:header="851" w:footer="992" w:gutter="1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华文宋体"/>
    <w:panose1 w:val="02010600030101010101"/>
    <w:charset w:val="80"/>
    <w:family w:val="auto"/>
    <w:pitch w:val="variable"/>
    <w:sig w:usb0="00000203" w:usb1="288F0000" w:usb2="00000006" w:usb3="00000000" w:csb0="00040001" w:csb1="00000000"/>
  </w:font>
  <w:font w:name="方正小标宋简体">
    <w:altName w:val="仿宋_GB2312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variable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imes New Roman">
    <w:altName w:val="黑体"/>
    <w:panose1 w:val="02020603050405020304"/>
    <w:charset w:val="80"/>
    <w:family w:val="auto"/>
    <w:pitch w:val="variable"/>
    <w:sig w:usb0="E0002EFF" w:usb1="C000785B" w:usb2="00000009" w:usb3="00000000" w:csb0="400001FF" w:csb1="FFFF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兰亭黑_GBK">
    <w:altName w:val="微软雅黑"/>
    <w:panose1 w:val="02000000000000000000"/>
    <w:charset w:val="86"/>
    <w:family w:val="script"/>
    <w:pitch w:val="variable"/>
    <w:sig w:usb0="00000000" w:usb1="00000000" w:usb2="0008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7629B0DF"/>
    <w:multiLevelType w:val="singleLevel"/>
    <w:tmpl w:val="7629B0DF"/>
    <w:lvl w:ilvl="0">
      <w:start w:val="1"/>
      <w:numFmt w:val="decimal"/>
      <w:lvlRestart w:val="0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ZTRiMmY4YWUwNGYzMTRiZWI4NGFlMDQyMDkwMmE0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16"/>
    <w:pPr>
      <w:widowControl w:val="0"/>
      <w:suppressAutoHyphens/>
      <w:bidi w:val="0"/>
      <w:spacing w:before="0" w:after="140" w:line="276" w:lineRule="auto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6">
    <w:name w:val="footer"/>
    <w:basedOn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firstLine="0"/>
      <w:jc w:val="left"/>
    </w:pPr>
    <w:rPr>
      <w:rFonts w:ascii="Calibri" w:eastAsia="宋体" w:cs="Calibri" w:hAnsi="Calibri"/>
      <w:kern w:val="2"/>
      <w:sz w:val="18"/>
      <w:szCs w:val="18"/>
      <w:lang w:val="en-US" w:eastAsia="zh-CN"/>
    </w:rPr>
  </w:style>
  <w:style w:type="paragraph" w:customStyle="1" w:styleId="17">
    <w:name w:val="BodyText1I2"/>
    <w:next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Chars="200" w:left="200" w:firstLine="0"/>
      <w:jc w:val="both"/>
      <w:textAlignment w:val="baseline"/>
    </w:pPr>
    <w:rPr>
      <w:rFonts w:ascii="Calibri" w:eastAsia="宋体" w:cs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7329CBB-9E7F-4F51-93C2-6BD0264F1FE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92</TotalTime>
  <Application>Yozo_Office27021597764231179</Application>
  <Pages>2</Pages>
  <Words>0</Words>
  <Characters>762</Characters>
  <Lines>0</Lines>
  <Paragraphs>4</Paragraphs>
  <CharactersWithSpaces>1016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yskp</cp:lastModifiedBy>
  <cp:revision>1</cp:revision>
  <cp:lastPrinted>2025-10-28T02:33:43Z</cp:lastPrinted>
  <dcterms:created xsi:type="dcterms:W3CDTF">2021-05-08T15:28:00Z</dcterms:created>
  <dcterms:modified xsi:type="dcterms:W3CDTF">2025-10-28T02:35:41Z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3F8A53FE7F214870BA92031CE6D7C4D7_13</vt:lpwstr>
  </property>
  <property fmtid="{D5CDD505-2E9C-101B-9397-08002B2CF9AE}" pid="4" name="KSOTemplateDocerSaveRecord">
    <vt:lpwstr>eyJoZGlkIjoiYzlhYTc5MzZlNDgyNjQxZTY4OTZjYjVkYmY2MDJkYWMifQ==</vt:lpwstr>
  </property>
</Properties>
</file>